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90" w:rsidRDefault="00831E90" w:rsidP="00831E90">
      <w:pPr>
        <w:pStyle w:val="t"/>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t"/>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t"/>
        <w:spacing w:before="90" w:beforeAutospacing="0" w:after="90" w:afterAutospacing="0"/>
        <w:ind w:left="675" w:right="675"/>
        <w:jc w:val="center"/>
        <w:rPr>
          <w:b/>
          <w:bCs/>
          <w:color w:val="333333"/>
          <w:sz w:val="27"/>
          <w:szCs w:val="27"/>
        </w:rPr>
      </w:pPr>
      <w:r>
        <w:rPr>
          <w:b/>
          <w:bCs/>
          <w:color w:val="333333"/>
          <w:sz w:val="27"/>
          <w:szCs w:val="27"/>
        </w:rPr>
        <w:t>от 18 марта 2022 г. № 409</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МОСКВА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z"/>
        <w:spacing w:before="90" w:beforeAutospacing="0" w:after="90" w:afterAutospacing="0"/>
        <w:ind w:left="675" w:right="675"/>
        <w:jc w:val="center"/>
        <w:rPr>
          <w:b/>
          <w:bCs/>
          <w:color w:val="333333"/>
          <w:sz w:val="27"/>
          <w:szCs w:val="27"/>
        </w:rPr>
      </w:pPr>
      <w:r>
        <w:rPr>
          <w:b/>
          <w:bCs/>
          <w:color w:val="333333"/>
          <w:sz w:val="27"/>
          <w:szCs w:val="27"/>
        </w:rPr>
        <w:t>О реализации в 2022 году отдельных мероприятий, направленных на снижение напряженности на рынке труда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Правительство Российской Федерации постановляет:</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 Утвердить прилагаемые: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Правила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Правила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изменения, которые вносятся в акты Правительства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2. Установить, что при проведении субъектами Российской Федерации отбора юридических лиц (за исключением государственных (муниципальных) учреждений), индивидуальных предпринимателей для реализации дополнительных мероприятий, направленных на снижение напряженности на рынке труда субъектов Российской Федерации, 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целях </w:t>
      </w:r>
      <w:proofErr w:type="spellStart"/>
      <w:r>
        <w:rPr>
          <w:color w:val="333333"/>
          <w:sz w:val="27"/>
          <w:szCs w:val="27"/>
        </w:rPr>
        <w:t>софинансирования</w:t>
      </w:r>
      <w:proofErr w:type="spellEnd"/>
      <w:r>
        <w:rPr>
          <w:color w:val="333333"/>
          <w:sz w:val="27"/>
          <w:szCs w:val="27"/>
        </w:rPr>
        <w:t xml:space="preserve"> которых предоставляются иные межбюджетные трансферты в соответствии с правилами, утвержденными настоящим постановлением, положения абзаца третьего </w:t>
      </w:r>
      <w:r>
        <w:rPr>
          <w:color w:val="333333"/>
          <w:sz w:val="27"/>
          <w:szCs w:val="27"/>
        </w:rPr>
        <w:lastRenderedPageBreak/>
        <w:t>подпункта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w:t>
      </w:r>
      <w:r>
        <w:rPr>
          <w:rStyle w:val="cmd"/>
          <w:color w:val="333333"/>
          <w:sz w:val="27"/>
          <w:szCs w:val="27"/>
        </w:rPr>
        <w:t>от 18 сентября 2020 г. № 1492</w:t>
      </w:r>
      <w:r>
        <w:rPr>
          <w:color w:val="333333"/>
          <w:sz w:val="27"/>
          <w:szCs w:val="27"/>
        </w:rPr>
        <w:t>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не применяются.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3. Рекомендовать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принять нормативные правовые акты, необходимые для реализации настоящего постановления, не позднее 5 дней со дня его официального опубликования.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4. Настоящее постановление вступает в силу со дня его официального опубликования.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y"/>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М.Мишустин</w:t>
      </w:r>
      <w:proofErr w:type="spellEnd"/>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s"/>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18 марта 2022 г. № 409</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t"/>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 xml:space="preserve">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b/>
          <w:bCs/>
          <w:color w:val="333333"/>
          <w:sz w:val="27"/>
          <w:szCs w:val="27"/>
        </w:rPr>
        <w:t>софинансирования</w:t>
      </w:r>
      <w:proofErr w:type="spellEnd"/>
      <w:r>
        <w:rPr>
          <w:b/>
          <w:bCs/>
          <w:color w:val="333333"/>
          <w:sz w:val="27"/>
          <w:szCs w:val="27"/>
        </w:rP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 xml:space="preserve">1. 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(далее соответственно - иные межбюджетные трансферты, дополнительные мероприятия).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пункте 1 настоящих Правил.</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Иные межбюджетные трансферты предоставляются бюджетам субъектов Российской Федерации поэтапно в соответствии с актами Правительства Российской Федерации, утверждающими соответствующие распределения иных межбюджетных трансфертов бюджетам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3. Иные межбюджетные трансферты предоставляются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дополнительных мероприятий, которые включают в себя одно или все следующие мероприятия: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Реализация дополнительных мероприятий направлена на достижение следующих значений результатов предоставления иных межбюджетных трансфертов: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организация общественных работ для 300 тыс. граждан, зарегистрированных в органах службы занятости в целях поиска подходящей работы, включая безработных граждан;</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организация временного трудоустройства 500 тыс. работников,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4. Условиями предоставления иных межбюджетных трансфертов являются: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которых предоставляются иные межбюджетные трансферты;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б) наличие правового акта субъекта Российской Федерации, утверждающего дополнительные мероприятия, при реализации которых возникают расходные обязательства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которых из федерального бюджета бюджету субъекта Российской Федерации предоставляются иные межбюджетные трансферты;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в) отсутствие в организациях, планирующих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Pr>
          <w:color w:val="333333"/>
          <w:sz w:val="27"/>
          <w:szCs w:val="27"/>
        </w:rPr>
        <w:t>коронавирусной</w:t>
      </w:r>
      <w:proofErr w:type="spellEnd"/>
      <w:r>
        <w:rPr>
          <w:color w:val="333333"/>
          <w:sz w:val="27"/>
          <w:szCs w:val="27"/>
        </w:rPr>
        <w:t xml:space="preserve"> инфекции;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 заключение соглашения о предоставлении иных межбюджетных трансфертов (далее - соглашение).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5. Критерием отбора субъектов Российской Федерации для предоставления иного межбюджетного трансферта является наличие работников организаций, находящихся под угрозой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а также граждан, зарегистрированных в органах службы занятости в целях поиска подходящей работы.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6. 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 правовыми актами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7. 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пунктом 6 настоящих Правил, нормативные правовые акты субъекта Российской Федерации о предоставлении соответствующих субсидий могут предусматривать положения о том, что в </w:t>
      </w:r>
      <w:r>
        <w:rPr>
          <w:color w:val="333333"/>
          <w:sz w:val="27"/>
          <w:szCs w:val="27"/>
        </w:rPr>
        <w:lastRenderedPageBreak/>
        <w:t>заключаемых работодателями договорах (соглашениях), связанных с реализацией указанных в пункте 3 настоящих Правил мероприятий, могут быть предусмотрены авансовые платежи в размере до 100 процентов.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8. 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9.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между другими субъектами Российской Федерации на те же цели в соответствии с пунктом 10 настоящих Правил.</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10. Размер иного межбюджетного трансферта, предоставляемого бюджету i-</w:t>
      </w:r>
      <w:proofErr w:type="spellStart"/>
      <w:r>
        <w:rPr>
          <w:color w:val="333333"/>
          <w:sz w:val="27"/>
          <w:szCs w:val="27"/>
        </w:rPr>
        <w:t>го</w:t>
      </w:r>
      <w:proofErr w:type="spellEnd"/>
      <w:r>
        <w:rPr>
          <w:color w:val="333333"/>
          <w:sz w:val="27"/>
          <w:szCs w:val="27"/>
        </w:rPr>
        <w:t xml:space="preserve"> субъекта Российской Федерации (</w:t>
      </w:r>
      <w:proofErr w:type="spellStart"/>
      <w:r>
        <w:rPr>
          <w:color w:val="333333"/>
          <w:sz w:val="27"/>
          <w:szCs w:val="27"/>
        </w:rPr>
        <w:t>S</w:t>
      </w:r>
      <w:r>
        <w:rPr>
          <w:rStyle w:val="w8"/>
          <w:color w:val="333333"/>
          <w:sz w:val="17"/>
          <w:szCs w:val="17"/>
        </w:rPr>
        <w:t>i</w:t>
      </w:r>
      <w:proofErr w:type="spellEnd"/>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SЧ - расчетный общий объем бюджетных ассигнований федерального бюджета на предоставление иных межбюджетных трансфертов;</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S</w:t>
      </w:r>
      <w:r>
        <w:rPr>
          <w:rStyle w:val="w8"/>
          <w:color w:val="333333"/>
          <w:sz w:val="17"/>
          <w:szCs w:val="17"/>
        </w:rPr>
        <w:t>ir</w:t>
      </w:r>
      <w:proofErr w:type="spellEnd"/>
      <w:r>
        <w:rPr>
          <w:color w:val="333333"/>
          <w:sz w:val="27"/>
          <w:szCs w:val="27"/>
        </w:rPr>
        <w:t> - потребность i-</w:t>
      </w:r>
      <w:proofErr w:type="spellStart"/>
      <w:r>
        <w:rPr>
          <w:color w:val="333333"/>
          <w:sz w:val="27"/>
          <w:szCs w:val="27"/>
        </w:rPr>
        <w:t>го</w:t>
      </w:r>
      <w:proofErr w:type="spellEnd"/>
      <w:r>
        <w:rPr>
          <w:color w:val="333333"/>
          <w:sz w:val="27"/>
          <w:szCs w:val="27"/>
        </w:rPr>
        <w:t xml:space="preserve"> субъекта Российской Федерации в ином межбюджетном трансферте с учетом предельного уровня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n</w:t>
      </w:r>
      <w:r>
        <w:rPr>
          <w:rStyle w:val="w8"/>
          <w:color w:val="333333"/>
          <w:sz w:val="17"/>
          <w:szCs w:val="17"/>
        </w:rPr>
        <w:t>i</w:t>
      </w:r>
      <w:proofErr w:type="spellEnd"/>
      <w:r>
        <w:rPr>
          <w:color w:val="333333"/>
          <w:sz w:val="27"/>
          <w:szCs w:val="27"/>
        </w:rPr>
        <w:t> - количество субъектов Российской Федерации, участвующих в реализации дополнительных мероприятий в соответствующем финансовом году.</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11. Потребность i-</w:t>
      </w:r>
      <w:proofErr w:type="spellStart"/>
      <w:r>
        <w:rPr>
          <w:color w:val="333333"/>
          <w:sz w:val="27"/>
          <w:szCs w:val="27"/>
        </w:rPr>
        <w:t>го</w:t>
      </w:r>
      <w:proofErr w:type="spellEnd"/>
      <w:r>
        <w:rPr>
          <w:color w:val="333333"/>
          <w:sz w:val="27"/>
          <w:szCs w:val="27"/>
        </w:rPr>
        <w:t xml:space="preserve"> субъекта Российской Федерации в ином межбюджетном трансферте с учетом предельного уровня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w:t>
      </w:r>
      <w:proofErr w:type="spellStart"/>
      <w:r>
        <w:rPr>
          <w:color w:val="333333"/>
          <w:sz w:val="27"/>
          <w:szCs w:val="27"/>
        </w:rPr>
        <w:t>S</w:t>
      </w:r>
      <w:r>
        <w:rPr>
          <w:rStyle w:val="w8"/>
          <w:color w:val="333333"/>
          <w:sz w:val="17"/>
          <w:szCs w:val="17"/>
        </w:rPr>
        <w:t>ir</w:t>
      </w:r>
      <w:proofErr w:type="spellEnd"/>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Pr="00831E90" w:rsidRDefault="00831E90" w:rsidP="00831E90">
      <w:pPr>
        <w:pStyle w:val="c"/>
        <w:spacing w:before="90" w:beforeAutospacing="0" w:after="90" w:afterAutospacing="0"/>
        <w:ind w:left="675" w:right="675"/>
        <w:jc w:val="center"/>
        <w:rPr>
          <w:color w:val="333333"/>
          <w:sz w:val="27"/>
          <w:szCs w:val="27"/>
          <w:lang w:val="en-US"/>
        </w:rPr>
      </w:pPr>
      <w:r w:rsidRPr="00831E90">
        <w:rPr>
          <w:color w:val="333333"/>
          <w:sz w:val="27"/>
          <w:szCs w:val="27"/>
          <w:lang w:val="en-US"/>
        </w:rPr>
        <w:t>S</w:t>
      </w:r>
      <w:r w:rsidRPr="00831E90">
        <w:rPr>
          <w:rStyle w:val="w8"/>
          <w:color w:val="333333"/>
          <w:sz w:val="17"/>
          <w:szCs w:val="17"/>
          <w:lang w:val="en-US"/>
        </w:rPr>
        <w:t>ir</w:t>
      </w:r>
      <w:r w:rsidRPr="00831E90">
        <w:rPr>
          <w:color w:val="333333"/>
          <w:sz w:val="27"/>
          <w:szCs w:val="27"/>
          <w:lang w:val="en-US"/>
        </w:rPr>
        <w:t> = (S</w:t>
      </w:r>
      <w:r w:rsidRPr="00831E90">
        <w:rPr>
          <w:rStyle w:val="w8"/>
          <w:color w:val="333333"/>
          <w:sz w:val="17"/>
          <w:szCs w:val="17"/>
          <w:lang w:val="en-US"/>
        </w:rPr>
        <w:t>i1 + </w:t>
      </w:r>
      <w:r w:rsidRPr="00831E90">
        <w:rPr>
          <w:color w:val="333333"/>
          <w:sz w:val="27"/>
          <w:szCs w:val="27"/>
          <w:lang w:val="en-US"/>
        </w:rPr>
        <w:t>S</w:t>
      </w:r>
      <w:r w:rsidRPr="00831E90">
        <w:rPr>
          <w:rStyle w:val="w8"/>
          <w:color w:val="333333"/>
          <w:sz w:val="17"/>
          <w:szCs w:val="17"/>
          <w:lang w:val="en-US"/>
        </w:rPr>
        <w:t>i2</w:t>
      </w:r>
      <w:r w:rsidRPr="00831E90">
        <w:rPr>
          <w:color w:val="333333"/>
          <w:sz w:val="27"/>
          <w:szCs w:val="27"/>
          <w:lang w:val="en-US"/>
        </w:rPr>
        <w:t>) x Y</w:t>
      </w:r>
      <w:r w:rsidRPr="00831E90">
        <w:rPr>
          <w:rStyle w:val="w8"/>
          <w:color w:val="333333"/>
          <w:sz w:val="17"/>
          <w:szCs w:val="17"/>
          <w:lang w:val="en-US"/>
        </w:rPr>
        <w:t>i</w:t>
      </w:r>
      <w:r w:rsidRPr="00831E90">
        <w:rPr>
          <w:color w:val="333333"/>
          <w:sz w:val="27"/>
          <w:szCs w:val="27"/>
          <w:lang w:val="en-US"/>
        </w:rPr>
        <w:t>,</w:t>
      </w:r>
    </w:p>
    <w:p w:rsidR="00831E90" w:rsidRPr="00831E90" w:rsidRDefault="00831E90" w:rsidP="00831E90">
      <w:pPr>
        <w:pStyle w:val="a3"/>
        <w:spacing w:before="90" w:beforeAutospacing="0" w:after="90" w:afterAutospacing="0"/>
        <w:ind w:firstLine="675"/>
        <w:jc w:val="both"/>
        <w:rPr>
          <w:color w:val="333333"/>
          <w:sz w:val="27"/>
          <w:szCs w:val="27"/>
          <w:lang w:val="en-US"/>
        </w:rPr>
      </w:pPr>
      <w:r w:rsidRPr="00831E90">
        <w:rPr>
          <w:color w:val="333333"/>
          <w:sz w:val="27"/>
          <w:szCs w:val="27"/>
          <w:lang w:val="en-US"/>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S</w:t>
      </w:r>
      <w:r>
        <w:rPr>
          <w:rStyle w:val="w8"/>
          <w:color w:val="333333"/>
          <w:sz w:val="17"/>
          <w:szCs w:val="17"/>
        </w:rPr>
        <w:t>i1</w:t>
      </w:r>
      <w:r>
        <w:rPr>
          <w:color w:val="333333"/>
          <w:sz w:val="27"/>
          <w:szCs w:val="27"/>
        </w:rPr>
        <w:t> - размер средств, необходимых бюджету субъекта Российской Федерации на реализацию дополнительного мероприятия, указанного в подпункте "а" пункта 3 настоящих Правил;</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S</w:t>
      </w:r>
      <w:r>
        <w:rPr>
          <w:rStyle w:val="w8"/>
          <w:color w:val="333333"/>
          <w:sz w:val="17"/>
          <w:szCs w:val="17"/>
        </w:rPr>
        <w:t>i2</w:t>
      </w:r>
      <w:r>
        <w:rPr>
          <w:color w:val="333333"/>
          <w:sz w:val="27"/>
          <w:szCs w:val="27"/>
        </w:rPr>
        <w:t> - размер средств, необходимых бюджету субъекта Российской Федерации на реализацию дополнительного мероприятия, указанного в подпункте "б" пункта 3 настоящих Правил;</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Y</w:t>
      </w:r>
      <w:r>
        <w:rPr>
          <w:rStyle w:val="w8"/>
          <w:color w:val="333333"/>
          <w:sz w:val="17"/>
          <w:szCs w:val="17"/>
        </w:rPr>
        <w:t>i</w:t>
      </w:r>
      <w:proofErr w:type="spellEnd"/>
      <w:r>
        <w:rPr>
          <w:color w:val="333333"/>
          <w:sz w:val="27"/>
          <w:szCs w:val="27"/>
        </w:rPr>
        <w:t xml:space="preserve"> - предельный уровень </w:t>
      </w:r>
      <w:proofErr w:type="spellStart"/>
      <w:r>
        <w:rPr>
          <w:color w:val="333333"/>
          <w:sz w:val="27"/>
          <w:szCs w:val="27"/>
        </w:rPr>
        <w:t>софинансирования</w:t>
      </w:r>
      <w:proofErr w:type="spellEnd"/>
      <w:r>
        <w:rPr>
          <w:color w:val="333333"/>
          <w:sz w:val="27"/>
          <w:szCs w:val="27"/>
        </w:rPr>
        <w:t xml:space="preserve"> расходного обязательства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которого предоставляется иной межбюджетный трансферт, равный 99 процентам.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12. Размер средств, необходимых бюджету субъекта Российской Федерации на реализацию дополнительного мероприятия, указанного в подпункте "а" пункта 3 настоящих Правил (S</w:t>
      </w:r>
      <w:r>
        <w:rPr>
          <w:rStyle w:val="w8"/>
          <w:color w:val="333333"/>
          <w:sz w:val="17"/>
          <w:szCs w:val="17"/>
        </w:rPr>
        <w:t>i1</w:t>
      </w:r>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S</w:t>
      </w:r>
      <w:r>
        <w:rPr>
          <w:rStyle w:val="w8"/>
          <w:color w:val="333333"/>
          <w:sz w:val="17"/>
          <w:szCs w:val="17"/>
        </w:rPr>
        <w:t>i1</w:t>
      </w:r>
      <w:r>
        <w:rPr>
          <w:color w:val="333333"/>
          <w:sz w:val="27"/>
          <w:szCs w:val="27"/>
        </w:rPr>
        <w:t xml:space="preserve"> = </w:t>
      </w:r>
      <w:proofErr w:type="spellStart"/>
      <w:r>
        <w:rPr>
          <w:color w:val="333333"/>
          <w:sz w:val="27"/>
          <w:szCs w:val="27"/>
        </w:rPr>
        <w:t>N</w:t>
      </w:r>
      <w:r>
        <w:rPr>
          <w:rStyle w:val="w8"/>
          <w:color w:val="333333"/>
          <w:sz w:val="17"/>
          <w:szCs w:val="17"/>
        </w:rPr>
        <w:t>iобщ</w:t>
      </w:r>
      <w:proofErr w:type="spellEnd"/>
      <w:r>
        <w:rPr>
          <w:color w:val="333333"/>
          <w:sz w:val="27"/>
          <w:szCs w:val="27"/>
        </w:rPr>
        <w:t xml:space="preserve"> x </w:t>
      </w:r>
      <w:proofErr w:type="spellStart"/>
      <w:r>
        <w:rPr>
          <w:color w:val="333333"/>
          <w:sz w:val="27"/>
          <w:szCs w:val="27"/>
        </w:rPr>
        <w:t>C</w:t>
      </w:r>
      <w:r>
        <w:rPr>
          <w:rStyle w:val="w8"/>
          <w:color w:val="333333"/>
          <w:sz w:val="17"/>
          <w:szCs w:val="17"/>
        </w:rPr>
        <w:t>зп</w:t>
      </w:r>
      <w:proofErr w:type="spellEnd"/>
      <w:r>
        <w:rPr>
          <w:color w:val="333333"/>
          <w:sz w:val="27"/>
          <w:szCs w:val="27"/>
        </w:rPr>
        <w:t xml:space="preserve"> x </w:t>
      </w:r>
      <w:proofErr w:type="spellStart"/>
      <w:r>
        <w:rPr>
          <w:color w:val="333333"/>
          <w:sz w:val="27"/>
          <w:szCs w:val="27"/>
        </w:rPr>
        <w:t>P</w:t>
      </w:r>
      <w:r>
        <w:rPr>
          <w:rStyle w:val="w8"/>
          <w:color w:val="333333"/>
          <w:sz w:val="17"/>
          <w:szCs w:val="17"/>
        </w:rPr>
        <w:t>зан</w:t>
      </w:r>
      <w:proofErr w:type="spellEnd"/>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N</w:t>
      </w:r>
      <w:r>
        <w:rPr>
          <w:rStyle w:val="w8"/>
          <w:color w:val="333333"/>
          <w:sz w:val="17"/>
          <w:szCs w:val="17"/>
        </w:rPr>
        <w:t>iобщ</w:t>
      </w:r>
      <w:proofErr w:type="spellEnd"/>
      <w:r>
        <w:rPr>
          <w:color w:val="333333"/>
          <w:sz w:val="27"/>
          <w:szCs w:val="27"/>
        </w:rPr>
        <w:t> - прогнозируемая в i-м субъекте Российской Федерации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C</w:t>
      </w:r>
      <w:r>
        <w:rPr>
          <w:rStyle w:val="w8"/>
          <w:color w:val="333333"/>
          <w:sz w:val="17"/>
          <w:szCs w:val="17"/>
        </w:rPr>
        <w:t>зп</w:t>
      </w:r>
      <w:proofErr w:type="spellEnd"/>
      <w:r>
        <w:rPr>
          <w:color w:val="333333"/>
          <w:sz w:val="27"/>
          <w:szCs w:val="27"/>
        </w:rPr>
        <w:t> - размер возмещения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законом </w:t>
      </w:r>
      <w:r>
        <w:rPr>
          <w:rStyle w:val="cmd"/>
          <w:color w:val="333333"/>
          <w:sz w:val="27"/>
          <w:szCs w:val="27"/>
        </w:rPr>
        <w:t>"О минимальном размере оплаты труда"</w:t>
      </w:r>
      <w:r>
        <w:rPr>
          <w:color w:val="333333"/>
          <w:sz w:val="27"/>
          <w:szCs w:val="27"/>
        </w:rPr>
        <w:t>, увеличенного на сумму страховых взносов в государственные внебюджетные фонды и районный коэффициент;</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P</w:t>
      </w:r>
      <w:r>
        <w:rPr>
          <w:rStyle w:val="w8"/>
          <w:color w:val="333333"/>
          <w:sz w:val="17"/>
          <w:szCs w:val="17"/>
        </w:rPr>
        <w:t>зан</w:t>
      </w:r>
      <w:proofErr w:type="spellEnd"/>
      <w:r>
        <w:rPr>
          <w:color w:val="333333"/>
          <w:sz w:val="27"/>
          <w:szCs w:val="27"/>
        </w:rPr>
        <w:t> - период занятости на общественных работах (количество месяцев), не более 3 месяцев.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13. Размер средств, необходимых бюджету субъекта Российской Федерации на реализацию дополнительного мероприятия, указанного в подпункте "б" пункта 3 настоящих Правил (S</w:t>
      </w:r>
      <w:r>
        <w:rPr>
          <w:rStyle w:val="w8"/>
          <w:color w:val="333333"/>
          <w:sz w:val="17"/>
          <w:szCs w:val="17"/>
        </w:rPr>
        <w:t>i2</w:t>
      </w:r>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S</w:t>
      </w:r>
      <w:r>
        <w:rPr>
          <w:rStyle w:val="w8"/>
          <w:color w:val="333333"/>
          <w:sz w:val="17"/>
          <w:szCs w:val="17"/>
        </w:rPr>
        <w:t>i2</w:t>
      </w:r>
      <w:r>
        <w:rPr>
          <w:color w:val="333333"/>
          <w:sz w:val="27"/>
          <w:szCs w:val="27"/>
        </w:rPr>
        <w:t xml:space="preserve"> = </w:t>
      </w:r>
      <w:proofErr w:type="spellStart"/>
      <w:r>
        <w:rPr>
          <w:color w:val="333333"/>
          <w:sz w:val="27"/>
          <w:szCs w:val="27"/>
        </w:rPr>
        <w:t>N</w:t>
      </w:r>
      <w:r>
        <w:rPr>
          <w:rStyle w:val="w8"/>
          <w:color w:val="333333"/>
          <w:sz w:val="17"/>
          <w:szCs w:val="17"/>
        </w:rPr>
        <w:t>iвр</w:t>
      </w:r>
      <w:proofErr w:type="spellEnd"/>
      <w:r>
        <w:rPr>
          <w:color w:val="333333"/>
          <w:sz w:val="27"/>
          <w:szCs w:val="27"/>
        </w:rPr>
        <w:t xml:space="preserve"> x </w:t>
      </w:r>
      <w:proofErr w:type="spellStart"/>
      <w:r>
        <w:rPr>
          <w:color w:val="333333"/>
          <w:sz w:val="27"/>
          <w:szCs w:val="27"/>
        </w:rPr>
        <w:t>C</w:t>
      </w:r>
      <w:r>
        <w:rPr>
          <w:rStyle w:val="w8"/>
          <w:color w:val="333333"/>
          <w:sz w:val="17"/>
          <w:szCs w:val="17"/>
        </w:rPr>
        <w:t>зп</w:t>
      </w:r>
      <w:proofErr w:type="spellEnd"/>
      <w:r>
        <w:rPr>
          <w:color w:val="333333"/>
          <w:sz w:val="27"/>
          <w:szCs w:val="27"/>
        </w:rPr>
        <w:t xml:space="preserve"> x </w:t>
      </w:r>
      <w:proofErr w:type="spellStart"/>
      <w:r>
        <w:rPr>
          <w:color w:val="333333"/>
          <w:sz w:val="27"/>
          <w:szCs w:val="27"/>
        </w:rPr>
        <w:t>P</w:t>
      </w:r>
      <w:r>
        <w:rPr>
          <w:rStyle w:val="w8"/>
          <w:color w:val="333333"/>
          <w:sz w:val="17"/>
          <w:szCs w:val="17"/>
        </w:rPr>
        <w:t>зан</w:t>
      </w:r>
      <w:proofErr w:type="spellEnd"/>
      <w:r>
        <w:rPr>
          <w:rStyle w:val="w8"/>
          <w:color w:val="333333"/>
          <w:sz w:val="17"/>
          <w:szCs w:val="17"/>
        </w:rPr>
        <w:t> </w:t>
      </w:r>
      <w:r>
        <w:rPr>
          <w:color w:val="333333"/>
          <w:sz w:val="27"/>
          <w:szCs w:val="27"/>
        </w:rPr>
        <w:t xml:space="preserve">+ </w:t>
      </w:r>
      <w:proofErr w:type="spellStart"/>
      <w:r>
        <w:rPr>
          <w:color w:val="333333"/>
          <w:sz w:val="27"/>
          <w:szCs w:val="27"/>
        </w:rPr>
        <w:t>N</w:t>
      </w:r>
      <w:r>
        <w:rPr>
          <w:rStyle w:val="w8"/>
          <w:color w:val="333333"/>
          <w:sz w:val="17"/>
          <w:szCs w:val="17"/>
        </w:rPr>
        <w:t>iвр</w:t>
      </w:r>
      <w:proofErr w:type="spellEnd"/>
      <w:r>
        <w:rPr>
          <w:color w:val="333333"/>
          <w:sz w:val="27"/>
          <w:szCs w:val="27"/>
        </w:rPr>
        <w:t xml:space="preserve"> x </w:t>
      </w:r>
      <w:proofErr w:type="spellStart"/>
      <w:r>
        <w:rPr>
          <w:color w:val="333333"/>
          <w:sz w:val="27"/>
          <w:szCs w:val="27"/>
        </w:rPr>
        <w:t>Z</w:t>
      </w:r>
      <w:r>
        <w:rPr>
          <w:rStyle w:val="w8"/>
          <w:color w:val="333333"/>
          <w:sz w:val="17"/>
          <w:szCs w:val="17"/>
        </w:rPr>
        <w:t>мт</w:t>
      </w:r>
      <w:proofErr w:type="spellEnd"/>
      <w:r>
        <w:rPr>
          <w:rStyle w:val="w8"/>
          <w:color w:val="333333"/>
          <w:sz w:val="17"/>
          <w:szCs w:val="1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N</w:t>
      </w:r>
      <w:r>
        <w:rPr>
          <w:rStyle w:val="w8"/>
          <w:color w:val="333333"/>
          <w:sz w:val="17"/>
          <w:szCs w:val="17"/>
        </w:rPr>
        <w:t>iвр</w:t>
      </w:r>
      <w:proofErr w:type="spellEnd"/>
      <w:r>
        <w:rPr>
          <w:color w:val="333333"/>
          <w:sz w:val="27"/>
          <w:szCs w:val="27"/>
        </w:rPr>
        <w:t> - прогнозируемая в i-м субъекте Российской Федерации численность трудоустроенных на временные работы граждан из числа работников организаций,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C</w:t>
      </w:r>
      <w:r>
        <w:rPr>
          <w:rStyle w:val="w8"/>
          <w:color w:val="333333"/>
          <w:sz w:val="17"/>
          <w:szCs w:val="17"/>
        </w:rPr>
        <w:t>зп</w:t>
      </w:r>
      <w:proofErr w:type="spellEnd"/>
      <w:r>
        <w:rPr>
          <w:color w:val="333333"/>
          <w:sz w:val="27"/>
          <w:szCs w:val="27"/>
        </w:rPr>
        <w:t> - размер возмещения затрат на заработную плату трудоустроенного на временную работу гражданина, равный величине минимального размера оплаты труда, установленного Федеральным законом </w:t>
      </w:r>
      <w:r>
        <w:rPr>
          <w:rStyle w:val="cmd"/>
          <w:color w:val="333333"/>
          <w:sz w:val="27"/>
          <w:szCs w:val="27"/>
        </w:rPr>
        <w:t>"О минимальном размере оплаты труда"</w:t>
      </w:r>
      <w:r>
        <w:rPr>
          <w:color w:val="333333"/>
          <w:sz w:val="27"/>
          <w:szCs w:val="27"/>
        </w:rPr>
        <w:t>, увеличенного на сумму страховых взносов в государственные внебюджетные фонды и районный коэффициент;</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P</w:t>
      </w:r>
      <w:r>
        <w:rPr>
          <w:rStyle w:val="w8"/>
          <w:color w:val="333333"/>
          <w:sz w:val="17"/>
          <w:szCs w:val="17"/>
        </w:rPr>
        <w:t>зан</w:t>
      </w:r>
      <w:proofErr w:type="spellEnd"/>
      <w:r>
        <w:rPr>
          <w:color w:val="333333"/>
          <w:sz w:val="27"/>
          <w:szCs w:val="27"/>
        </w:rPr>
        <w:t> - период временного трудоустройства (количество месяцев), не более 3 месяцев;</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lastRenderedPageBreak/>
        <w:t>Z</w:t>
      </w:r>
      <w:r>
        <w:rPr>
          <w:rStyle w:val="w8"/>
          <w:color w:val="333333"/>
          <w:sz w:val="17"/>
          <w:szCs w:val="17"/>
        </w:rPr>
        <w:t>мт</w:t>
      </w:r>
      <w:proofErr w:type="spellEnd"/>
      <w:r>
        <w:rPr>
          <w:color w:val="333333"/>
          <w:sz w:val="27"/>
          <w:szCs w:val="27"/>
        </w:rPr>
        <w:t> - затраты на одно рабочее место работника в период материально-технического обеспечения работ, 10 тыс. рублей на весь период.</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14.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15.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отчет о расходах бюджета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которых предоставляется иной межбюджетный трансферт, - ежемесячно, не позднее 10-го числа месяца, следующего за отчетным;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отчет о достижении значений результатов предоставления иного межбюджетного трансферта по форме и в сроки, предусмотренные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16.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устанавливаемых в соглашении и достигнутых субъектом Российской Федерации следующих значений результатов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 численность трудоустроенных на общественные работы граждан, ищущих работу и обратившихся в органы службы занятости;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 численность трудоустроенных на временные работы граждан из числа работников организаций,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Показателем, применяемым для оценки эффективности предоставления иного межбюджетного трансферта, является уровень регистрируемой безработицы.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17. 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результатов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r>
        <w:rPr>
          <w:color w:val="333333"/>
          <w:sz w:val="27"/>
          <w:szCs w:val="27"/>
        </w:rPr>
        <w:t>V</w:t>
      </w:r>
      <w:r>
        <w:rPr>
          <w:rStyle w:val="w8"/>
          <w:color w:val="333333"/>
          <w:sz w:val="17"/>
          <w:szCs w:val="17"/>
        </w:rPr>
        <w:t>возврата</w:t>
      </w:r>
      <w:proofErr w:type="spellEnd"/>
      <w:r>
        <w:rPr>
          <w:color w:val="333333"/>
          <w:sz w:val="27"/>
          <w:szCs w:val="27"/>
        </w:rPr>
        <w:t>), рассчитывается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lastRenderedPageBreak/>
        <w:t>V</w:t>
      </w:r>
      <w:r>
        <w:rPr>
          <w:rStyle w:val="w8"/>
          <w:color w:val="333333"/>
          <w:sz w:val="17"/>
          <w:szCs w:val="17"/>
        </w:rPr>
        <w:t>мбт</w:t>
      </w:r>
      <w:proofErr w:type="spellEnd"/>
      <w:r>
        <w:rPr>
          <w:color w:val="333333"/>
          <w:sz w:val="27"/>
          <w:szCs w:val="27"/>
        </w:rPr>
        <w:t> - размер иного межбюджетного трансферта, предоставленного бюджету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k - коэффициент возврата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m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rPr>
          <w:color w:val="333333"/>
          <w:sz w:val="27"/>
          <w:szCs w:val="27"/>
        </w:rPr>
        <w:t>недостижения</w:t>
      </w:r>
      <w:proofErr w:type="spellEnd"/>
      <w:r>
        <w:rPr>
          <w:color w:val="333333"/>
          <w:sz w:val="27"/>
          <w:szCs w:val="27"/>
        </w:rPr>
        <w:t xml:space="preserve"> значения i-</w:t>
      </w:r>
      <w:proofErr w:type="spellStart"/>
      <w:r>
        <w:rPr>
          <w:color w:val="333333"/>
          <w:sz w:val="27"/>
          <w:szCs w:val="27"/>
        </w:rPr>
        <w:t>го</w:t>
      </w:r>
      <w:proofErr w:type="spellEnd"/>
      <w:r>
        <w:rPr>
          <w:color w:val="333333"/>
          <w:sz w:val="27"/>
          <w:szCs w:val="27"/>
        </w:rPr>
        <w:t xml:space="preserve"> результата предоставления иного межбюджетного трансферта, имеет положительное значение;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n - общее количество результатов и показателей, применяемых для оценки эффективности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18.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r>
        <w:rPr>
          <w:color w:val="333333"/>
          <w:sz w:val="27"/>
          <w:szCs w:val="27"/>
        </w:rPr>
        <w:t>V</w:t>
      </w:r>
      <w:r>
        <w:rPr>
          <w:rStyle w:val="w8"/>
          <w:color w:val="333333"/>
          <w:sz w:val="17"/>
          <w:szCs w:val="17"/>
        </w:rPr>
        <w:t>мбт</w:t>
      </w:r>
      <w:proofErr w:type="spellEnd"/>
      <w:r>
        <w:rPr>
          <w:color w:val="333333"/>
          <w:sz w:val="27"/>
          <w:szCs w:val="27"/>
        </w:rP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19. Коэффициент возврата иного межбюджетного трансферта (k)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20. Основанием для освобождения субъектов Российской Федерации от применения меры ответственности, предусмотренной пунктом 17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21. В случае нарушения субъектом Российской Федерации целей при предоставлении иных межбюджетных трансфертов к нему применяются бюджетные меры принуждения, предусмотренные бюджетным законодательством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22.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23. Контроль за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____________</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p>
    <w:p w:rsidR="00831E90" w:rsidRDefault="00831E90" w:rsidP="00831E90">
      <w:pPr>
        <w:pStyle w:val="s"/>
        <w:spacing w:before="90" w:beforeAutospacing="0" w:after="90" w:afterAutospacing="0"/>
        <w:ind w:left="5100"/>
        <w:jc w:val="center"/>
        <w:rPr>
          <w:color w:val="333333"/>
          <w:sz w:val="27"/>
          <w:szCs w:val="27"/>
        </w:rPr>
      </w:pPr>
      <w:bookmarkStart w:id="0" w:name="_GoBack"/>
      <w:bookmarkEnd w:id="0"/>
      <w:r>
        <w:rPr>
          <w:color w:val="333333"/>
          <w:sz w:val="27"/>
          <w:szCs w:val="27"/>
        </w:rPr>
        <w:lastRenderedPageBreak/>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18 марта 2022 г. № 409</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t"/>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 xml:space="preserve">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b/>
          <w:bCs/>
          <w:color w:val="333333"/>
          <w:sz w:val="27"/>
          <w:szCs w:val="27"/>
        </w:rPr>
        <w:t>софинансирования</w:t>
      </w:r>
      <w:proofErr w:type="spellEnd"/>
      <w:r>
        <w:rPr>
          <w:b/>
          <w:bCs/>
          <w:color w:val="333333"/>
          <w:sz w:val="27"/>
          <w:szCs w:val="27"/>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1. 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соответственно - иные межбюджетные трансферты, региональные программы, участники мероприятий).</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Реализация региональных программ направлена на достижение значения результата предоставления иных межбюджетных трансфертов "Организация профессионального обучения и дополнительного профессионального образования 250 тыс. работников промышленных предприятий,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могут принять в них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w:t>
      </w:r>
      <w:r>
        <w:rPr>
          <w:color w:val="333333"/>
          <w:sz w:val="27"/>
          <w:szCs w:val="27"/>
        </w:rPr>
        <w:lastRenderedPageBreak/>
        <w:t>Федерации </w:t>
      </w:r>
      <w:r>
        <w:rPr>
          <w:rStyle w:val="cmd"/>
          <w:color w:val="333333"/>
          <w:sz w:val="27"/>
          <w:szCs w:val="27"/>
        </w:rPr>
        <w:t>от 13 марта 2021 г. № 369</w:t>
      </w:r>
      <w:r>
        <w:rPr>
          <w:color w:val="333333"/>
          <w:sz w:val="27"/>
          <w:szCs w:val="27"/>
        </w:rPr>
        <w:t>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пункте 1 настоящих Правил.</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Иные межбюджетные трансферты предоставляются бюджетам субъектов Российской Федерации поэтапно в соответствии с актами Правительства Российской Федерации, утверждающими соответствующее распределение иных межбюджетных трансфертов бюджетам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3. Условиями предоставления иных межбюджетных трансфертов являются: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которых предоставляются иные межбюджетные трансферты;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б) наличие региональной программы, утверждаемой актом уполномоченного органа исполнительной власти субъекта Российской Федерации и устанавливающей показатели по численности участников мероприятий в разрезе промышленных предприятий и профессий (специальностей),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субъекта Российской Федерации по реализации которой из федерального бюджета бюджету субъекта Российской Федерации предоставляются иные межбюджетные трансферты;</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в) заключение соглашения о предоставлении иных межбюджетных трансфертов (далее - соглашение).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4. Критерием отбора субъектов Российской Федерации для предоставления иного межбюджетного трансферта является наличие работников промышленных предприятий, находящихся под риском увольнения.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5. 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w:t>
      </w:r>
      <w:r>
        <w:rPr>
          <w:color w:val="333333"/>
          <w:sz w:val="27"/>
          <w:szCs w:val="27"/>
        </w:rPr>
        <w:lastRenderedPageBreak/>
        <w:t>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 правовыми актами субъектов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6. 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пунктом 5 настоящих Правил, нормативные правовые акты субъекта Российской Федерации о предоставлении соответствующих субсидий могут содержать положения о том, что в заключаемых работодателями договорах (соглашениях), связанных с реализацией указанных в пункте 1 настоящих Правил мероприятий, могут быть предусмотрены авансовые платежи в размере до 100 процентов.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7. 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8.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на предоставление иного межбюджетного трансферта между другими субъектами Российской Федерации на те же цели в соответствии с пунктом 9 настоящих Правил.</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9. Размер иного межбюджетного трансферта, предоставляемого бюджету i-</w:t>
      </w:r>
      <w:proofErr w:type="spellStart"/>
      <w:r>
        <w:rPr>
          <w:color w:val="333333"/>
          <w:sz w:val="27"/>
          <w:szCs w:val="27"/>
        </w:rPr>
        <w:t>го</w:t>
      </w:r>
      <w:proofErr w:type="spellEnd"/>
      <w:r>
        <w:rPr>
          <w:color w:val="333333"/>
          <w:sz w:val="27"/>
          <w:szCs w:val="27"/>
        </w:rPr>
        <w:t xml:space="preserve"> субъекта Российской Федерации (</w:t>
      </w:r>
      <w:proofErr w:type="spellStart"/>
      <w:r>
        <w:rPr>
          <w:color w:val="333333"/>
          <w:sz w:val="27"/>
          <w:szCs w:val="27"/>
        </w:rPr>
        <w:t>S</w:t>
      </w:r>
      <w:r>
        <w:rPr>
          <w:rStyle w:val="w8"/>
          <w:color w:val="333333"/>
          <w:sz w:val="17"/>
          <w:szCs w:val="17"/>
        </w:rPr>
        <w:t>i</w:t>
      </w:r>
      <w:proofErr w:type="spellEnd"/>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SЧ - расчетный общий объем бюджетных ассигнований федерального бюджета на предоставление иных межбюджетных трансфертов;</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S</w:t>
      </w:r>
      <w:r>
        <w:rPr>
          <w:rStyle w:val="w8"/>
          <w:color w:val="333333"/>
          <w:sz w:val="17"/>
          <w:szCs w:val="17"/>
        </w:rPr>
        <w:t>ir</w:t>
      </w:r>
      <w:proofErr w:type="spellEnd"/>
      <w:r>
        <w:rPr>
          <w:color w:val="333333"/>
          <w:sz w:val="27"/>
          <w:szCs w:val="27"/>
        </w:rPr>
        <w:t> - потребность i-</w:t>
      </w:r>
      <w:proofErr w:type="spellStart"/>
      <w:r>
        <w:rPr>
          <w:color w:val="333333"/>
          <w:sz w:val="27"/>
          <w:szCs w:val="27"/>
        </w:rPr>
        <w:t>го</w:t>
      </w:r>
      <w:proofErr w:type="spellEnd"/>
      <w:r>
        <w:rPr>
          <w:color w:val="333333"/>
          <w:sz w:val="27"/>
          <w:szCs w:val="27"/>
        </w:rPr>
        <w:t xml:space="preserve"> субъекта Российской Федерации в ином межбюджетном трансферте с учетом предельного уровня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из федерального бюджета;</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n</w:t>
      </w:r>
      <w:r>
        <w:rPr>
          <w:rStyle w:val="w8"/>
          <w:color w:val="333333"/>
          <w:sz w:val="17"/>
          <w:szCs w:val="17"/>
        </w:rPr>
        <w:t>i</w:t>
      </w:r>
      <w:proofErr w:type="spellEnd"/>
      <w:r>
        <w:rPr>
          <w:color w:val="333333"/>
          <w:sz w:val="27"/>
          <w:szCs w:val="27"/>
        </w:rPr>
        <w:t> - количество субъектов Российской Федерации, реализующих региональные программы в соответствующем финансовом году.</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10. Потребность i-</w:t>
      </w:r>
      <w:proofErr w:type="spellStart"/>
      <w:r>
        <w:rPr>
          <w:color w:val="333333"/>
          <w:sz w:val="27"/>
          <w:szCs w:val="27"/>
        </w:rPr>
        <w:t>го</w:t>
      </w:r>
      <w:proofErr w:type="spellEnd"/>
      <w:r>
        <w:rPr>
          <w:color w:val="333333"/>
          <w:sz w:val="27"/>
          <w:szCs w:val="27"/>
        </w:rPr>
        <w:t xml:space="preserve"> субъекта Российской Федерации в ином межбюджетном трансферте с учетом предельного уровня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из федерального бюджета (</w:t>
      </w:r>
      <w:proofErr w:type="spellStart"/>
      <w:r>
        <w:rPr>
          <w:color w:val="333333"/>
          <w:sz w:val="27"/>
          <w:szCs w:val="27"/>
        </w:rPr>
        <w:t>S</w:t>
      </w:r>
      <w:r>
        <w:rPr>
          <w:rStyle w:val="w8"/>
          <w:color w:val="333333"/>
          <w:sz w:val="17"/>
          <w:szCs w:val="17"/>
        </w:rPr>
        <w:t>ir</w:t>
      </w:r>
      <w:proofErr w:type="spellEnd"/>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Pr="00831E90" w:rsidRDefault="00831E90" w:rsidP="00831E90">
      <w:pPr>
        <w:pStyle w:val="c"/>
        <w:spacing w:before="90" w:beforeAutospacing="0" w:after="90" w:afterAutospacing="0"/>
        <w:ind w:left="675" w:right="675"/>
        <w:jc w:val="center"/>
        <w:rPr>
          <w:color w:val="333333"/>
          <w:sz w:val="27"/>
          <w:szCs w:val="27"/>
          <w:lang w:val="en-US"/>
        </w:rPr>
      </w:pPr>
      <w:r w:rsidRPr="00831E90">
        <w:rPr>
          <w:color w:val="333333"/>
          <w:sz w:val="27"/>
          <w:szCs w:val="27"/>
          <w:lang w:val="en-US"/>
        </w:rPr>
        <w:t>S</w:t>
      </w:r>
      <w:r w:rsidRPr="00831E90">
        <w:rPr>
          <w:rStyle w:val="w8"/>
          <w:color w:val="333333"/>
          <w:sz w:val="17"/>
          <w:szCs w:val="17"/>
          <w:lang w:val="en-US"/>
        </w:rPr>
        <w:t>ir</w:t>
      </w:r>
      <w:r w:rsidRPr="00831E90">
        <w:rPr>
          <w:color w:val="333333"/>
          <w:sz w:val="27"/>
          <w:szCs w:val="27"/>
          <w:lang w:val="en-US"/>
        </w:rPr>
        <w:t> = S</w:t>
      </w:r>
      <w:r w:rsidRPr="00831E90">
        <w:rPr>
          <w:rStyle w:val="w8"/>
          <w:color w:val="333333"/>
          <w:sz w:val="17"/>
          <w:szCs w:val="17"/>
          <w:lang w:val="en-US"/>
        </w:rPr>
        <w:t>i </w:t>
      </w:r>
      <w:r w:rsidRPr="00831E90">
        <w:rPr>
          <w:color w:val="333333"/>
          <w:sz w:val="27"/>
          <w:szCs w:val="27"/>
          <w:lang w:val="en-US"/>
        </w:rPr>
        <w:t>x Y</w:t>
      </w:r>
      <w:r w:rsidRPr="00831E90">
        <w:rPr>
          <w:rStyle w:val="w8"/>
          <w:color w:val="333333"/>
          <w:sz w:val="17"/>
          <w:szCs w:val="17"/>
          <w:lang w:val="en-US"/>
        </w:rPr>
        <w:t>i</w:t>
      </w:r>
      <w:r w:rsidRPr="00831E90">
        <w:rPr>
          <w:color w:val="333333"/>
          <w:sz w:val="27"/>
          <w:szCs w:val="27"/>
          <w:lang w:val="en-US"/>
        </w:rPr>
        <w:t>,</w:t>
      </w:r>
    </w:p>
    <w:p w:rsidR="00831E90" w:rsidRPr="00831E90" w:rsidRDefault="00831E90" w:rsidP="00831E90">
      <w:pPr>
        <w:pStyle w:val="a3"/>
        <w:spacing w:before="90" w:beforeAutospacing="0" w:after="90" w:afterAutospacing="0"/>
        <w:ind w:firstLine="675"/>
        <w:jc w:val="both"/>
        <w:rPr>
          <w:color w:val="333333"/>
          <w:sz w:val="27"/>
          <w:szCs w:val="27"/>
          <w:lang w:val="en-US"/>
        </w:rPr>
      </w:pPr>
      <w:r w:rsidRPr="00831E90">
        <w:rPr>
          <w:color w:val="333333"/>
          <w:sz w:val="27"/>
          <w:szCs w:val="27"/>
          <w:lang w:val="en-US"/>
        </w:rPr>
        <w:t> </w:t>
      </w:r>
    </w:p>
    <w:p w:rsidR="00831E90" w:rsidRPr="00831E90" w:rsidRDefault="00831E90" w:rsidP="00831E90">
      <w:pPr>
        <w:pStyle w:val="a3"/>
        <w:spacing w:before="90" w:beforeAutospacing="0" w:after="90" w:afterAutospacing="0"/>
        <w:ind w:firstLine="675"/>
        <w:jc w:val="both"/>
        <w:rPr>
          <w:color w:val="333333"/>
          <w:sz w:val="27"/>
          <w:szCs w:val="27"/>
          <w:lang w:val="en-US"/>
        </w:rPr>
      </w:pPr>
      <w:r>
        <w:rPr>
          <w:color w:val="333333"/>
          <w:sz w:val="27"/>
          <w:szCs w:val="27"/>
        </w:rPr>
        <w:t>где</w:t>
      </w:r>
      <w:r w:rsidRPr="00831E90">
        <w:rPr>
          <w:color w:val="333333"/>
          <w:sz w:val="27"/>
          <w:szCs w:val="27"/>
          <w:lang w:val="en-US"/>
        </w:rPr>
        <w:t>:</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S</w:t>
      </w:r>
      <w:r>
        <w:rPr>
          <w:rStyle w:val="w8"/>
          <w:color w:val="333333"/>
          <w:sz w:val="17"/>
          <w:szCs w:val="17"/>
        </w:rPr>
        <w:t>i</w:t>
      </w:r>
      <w:proofErr w:type="spellEnd"/>
      <w:r>
        <w:rPr>
          <w:color w:val="333333"/>
          <w:sz w:val="27"/>
          <w:szCs w:val="27"/>
        </w:rPr>
        <w:t> - размер средств, необходимых бюджету субъекта Российской Федерации на реализацию региональной программы;</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Y</w:t>
      </w:r>
      <w:r>
        <w:rPr>
          <w:rStyle w:val="w8"/>
          <w:color w:val="333333"/>
          <w:sz w:val="17"/>
          <w:szCs w:val="17"/>
        </w:rPr>
        <w:t>i</w:t>
      </w:r>
      <w:proofErr w:type="spellEnd"/>
      <w:r>
        <w:rPr>
          <w:color w:val="333333"/>
          <w:sz w:val="27"/>
          <w:szCs w:val="27"/>
        </w:rPr>
        <w:t xml:space="preserve"> - предельный уровень </w:t>
      </w:r>
      <w:proofErr w:type="spellStart"/>
      <w:r>
        <w:rPr>
          <w:color w:val="333333"/>
          <w:sz w:val="27"/>
          <w:szCs w:val="27"/>
        </w:rPr>
        <w:t>софинансирования</w:t>
      </w:r>
      <w:proofErr w:type="spellEnd"/>
      <w:r>
        <w:rPr>
          <w:color w:val="333333"/>
          <w:sz w:val="27"/>
          <w:szCs w:val="27"/>
        </w:rPr>
        <w:t xml:space="preserve"> расходного обязательства субъекта Российской Федерации из федерального бюджета, в целях </w:t>
      </w:r>
      <w:proofErr w:type="spellStart"/>
      <w:r>
        <w:rPr>
          <w:color w:val="333333"/>
          <w:sz w:val="27"/>
          <w:szCs w:val="27"/>
        </w:rPr>
        <w:t>софинансирования</w:t>
      </w:r>
      <w:proofErr w:type="spellEnd"/>
      <w:r>
        <w:rPr>
          <w:color w:val="333333"/>
          <w:sz w:val="27"/>
          <w:szCs w:val="27"/>
        </w:rPr>
        <w:t xml:space="preserve"> которого предоставляется иной межбюджетный трансферт, равный 99 процентам.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11. Размер средств, необходимых бюджету субъекта Российской Федерации на реализацию региональной программы (</w:t>
      </w:r>
      <w:proofErr w:type="spellStart"/>
      <w:r>
        <w:rPr>
          <w:color w:val="333333"/>
          <w:sz w:val="27"/>
          <w:szCs w:val="27"/>
        </w:rPr>
        <w:t>S</w:t>
      </w:r>
      <w:r>
        <w:rPr>
          <w:rStyle w:val="w8"/>
          <w:color w:val="333333"/>
          <w:sz w:val="17"/>
          <w:szCs w:val="17"/>
        </w:rPr>
        <w:t>i</w:t>
      </w:r>
      <w:proofErr w:type="spellEnd"/>
      <w:r>
        <w:rPr>
          <w:color w:val="333333"/>
          <w:sz w:val="27"/>
          <w:szCs w:val="27"/>
        </w:rPr>
        <w:t>),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proofErr w:type="spellStart"/>
      <w:r>
        <w:rPr>
          <w:color w:val="333333"/>
          <w:sz w:val="27"/>
          <w:szCs w:val="27"/>
        </w:rPr>
        <w:t>S</w:t>
      </w:r>
      <w:r>
        <w:rPr>
          <w:rStyle w:val="w8"/>
          <w:color w:val="333333"/>
          <w:sz w:val="17"/>
          <w:szCs w:val="17"/>
        </w:rPr>
        <w:t>i</w:t>
      </w:r>
      <w:proofErr w:type="spellEnd"/>
      <w:r>
        <w:rPr>
          <w:color w:val="333333"/>
          <w:sz w:val="27"/>
          <w:szCs w:val="27"/>
        </w:rPr>
        <w:t xml:space="preserve"> = </w:t>
      </w:r>
      <w:proofErr w:type="spellStart"/>
      <w:r>
        <w:rPr>
          <w:color w:val="333333"/>
          <w:sz w:val="27"/>
          <w:szCs w:val="27"/>
        </w:rPr>
        <w:t>N</w:t>
      </w:r>
      <w:r>
        <w:rPr>
          <w:rStyle w:val="w8"/>
          <w:color w:val="333333"/>
          <w:sz w:val="17"/>
          <w:szCs w:val="17"/>
        </w:rPr>
        <w:t>iобщ</w:t>
      </w:r>
      <w:proofErr w:type="spellEnd"/>
      <w:r>
        <w:rPr>
          <w:color w:val="333333"/>
          <w:sz w:val="27"/>
          <w:szCs w:val="27"/>
        </w:rPr>
        <w:t xml:space="preserve"> x </w:t>
      </w:r>
      <w:proofErr w:type="spellStart"/>
      <w:r>
        <w:rPr>
          <w:color w:val="333333"/>
          <w:sz w:val="27"/>
          <w:szCs w:val="27"/>
        </w:rPr>
        <w:t>C</w:t>
      </w:r>
      <w:r>
        <w:rPr>
          <w:rStyle w:val="w8"/>
          <w:color w:val="333333"/>
          <w:sz w:val="17"/>
          <w:szCs w:val="17"/>
        </w:rPr>
        <w:t>об</w:t>
      </w:r>
      <w:proofErr w:type="spellEnd"/>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N</w:t>
      </w:r>
      <w:r>
        <w:rPr>
          <w:rStyle w:val="w8"/>
          <w:color w:val="333333"/>
          <w:sz w:val="17"/>
          <w:szCs w:val="17"/>
        </w:rPr>
        <w:t>iобщ</w:t>
      </w:r>
      <w:proofErr w:type="spellEnd"/>
      <w:r>
        <w:rPr>
          <w:color w:val="333333"/>
          <w:sz w:val="27"/>
          <w:szCs w:val="27"/>
        </w:rPr>
        <w:t> - прогнозируемая в i-м субъекте Российской Федерации численность участников мероприятий;</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C</w:t>
      </w:r>
      <w:r>
        <w:rPr>
          <w:rStyle w:val="w8"/>
          <w:color w:val="333333"/>
          <w:sz w:val="17"/>
          <w:szCs w:val="17"/>
        </w:rPr>
        <w:t>об</w:t>
      </w:r>
      <w:proofErr w:type="spellEnd"/>
      <w:r>
        <w:rPr>
          <w:color w:val="333333"/>
          <w:sz w:val="27"/>
          <w:szCs w:val="27"/>
        </w:rPr>
        <w:t>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12.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отчет о расходах бюджета субъекта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которых предоставляется иной межбюджетный трансферт, - ежемесячно, не позднее 10-го числа месяца, следующего за отчетным;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отчет о достижении значений результата предоставления иного межбюджетного трансферта по форме и в сроки, предусмотренные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14. Оценка эффективности предоставления иного межбюджетного трансферта осуществляется Федеральной службой по труду и занятости </w:t>
      </w:r>
      <w:r>
        <w:rPr>
          <w:color w:val="333333"/>
          <w:sz w:val="27"/>
          <w:szCs w:val="27"/>
        </w:rPr>
        <w:lastRenderedPageBreak/>
        <w:t>на основании сравнения устанавливаемого в соглашении и достигнутого субъектом Российской Федерации результата предоставления иного межбюджетного трансферта "Численность работников, прошедших профессиональное обучение и получивших дополнительное профессиональное образование".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Показателем, применяемым для оценки эффективности предоставления иных межбюджетных трансфертов, является доля занятых по истечении 3 месяцев после завершения профессионального обучения и получения дополнительного профессионального образования из числа граждан, прошедших профессиональное обучение и получивших дополнительное профессиональное образование, не менее 85 процентов.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15. В случае если субъектом Российской Федерации по состоянию на 31 декабря года предоставления иного межбюджетного трансферта допущено нарушение обязательств по достижению значения результата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r>
        <w:rPr>
          <w:color w:val="333333"/>
          <w:sz w:val="27"/>
          <w:szCs w:val="27"/>
        </w:rPr>
        <w:t>V</w:t>
      </w:r>
      <w:r>
        <w:rPr>
          <w:rStyle w:val="w8"/>
          <w:color w:val="333333"/>
          <w:sz w:val="17"/>
          <w:szCs w:val="17"/>
        </w:rPr>
        <w:t>возврата</w:t>
      </w:r>
      <w:proofErr w:type="spellEnd"/>
      <w:r>
        <w:rPr>
          <w:color w:val="333333"/>
          <w:sz w:val="27"/>
          <w:szCs w:val="27"/>
        </w:rPr>
        <w:t>), рассчитывается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proofErr w:type="spellStart"/>
      <w:r>
        <w:rPr>
          <w:color w:val="333333"/>
          <w:sz w:val="27"/>
          <w:szCs w:val="27"/>
        </w:rPr>
        <w:t>V</w:t>
      </w:r>
      <w:r>
        <w:rPr>
          <w:rStyle w:val="w8"/>
          <w:color w:val="333333"/>
          <w:sz w:val="17"/>
          <w:szCs w:val="17"/>
        </w:rPr>
        <w:t>мбт</w:t>
      </w:r>
      <w:proofErr w:type="spellEnd"/>
      <w:r>
        <w:rPr>
          <w:color w:val="333333"/>
          <w:sz w:val="27"/>
          <w:szCs w:val="27"/>
        </w:rPr>
        <w:t> - размер иного межбюджетного трансферта, предоставленного бюджету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k - коэффициент возврата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m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rPr>
          <w:color w:val="333333"/>
          <w:sz w:val="27"/>
          <w:szCs w:val="27"/>
        </w:rPr>
        <w:t>недостижения</w:t>
      </w:r>
      <w:proofErr w:type="spellEnd"/>
      <w:r>
        <w:rPr>
          <w:color w:val="333333"/>
          <w:sz w:val="27"/>
          <w:szCs w:val="27"/>
        </w:rPr>
        <w:t xml:space="preserve"> значения i-</w:t>
      </w:r>
      <w:proofErr w:type="spellStart"/>
      <w:r>
        <w:rPr>
          <w:color w:val="333333"/>
          <w:sz w:val="27"/>
          <w:szCs w:val="27"/>
        </w:rPr>
        <w:t>го</w:t>
      </w:r>
      <w:proofErr w:type="spellEnd"/>
      <w:r>
        <w:rPr>
          <w:color w:val="333333"/>
          <w:sz w:val="27"/>
          <w:szCs w:val="27"/>
        </w:rPr>
        <w:t xml:space="preserve"> результата предоставления иного межбюджетного трансферта, имеет положительное значение;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n - общее количество результатов и показателей, применяемых для оценки эффективности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16.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r>
        <w:rPr>
          <w:color w:val="333333"/>
          <w:sz w:val="27"/>
          <w:szCs w:val="27"/>
        </w:rPr>
        <w:t>V</w:t>
      </w:r>
      <w:r>
        <w:rPr>
          <w:rStyle w:val="w8"/>
          <w:color w:val="333333"/>
          <w:sz w:val="17"/>
          <w:szCs w:val="17"/>
        </w:rPr>
        <w:t>мбт</w:t>
      </w:r>
      <w:proofErr w:type="spellEnd"/>
      <w:r>
        <w:rPr>
          <w:color w:val="333333"/>
          <w:sz w:val="27"/>
          <w:szCs w:val="27"/>
        </w:rP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17. Коэффициент возврата иного межбюджетного трансферта (k) определяется по формуле: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где: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18. Основанием для освобождения субъектов Российской Федерации от применения меры ответственности, предусмотренной пунктом 15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19. В случае нарушения субъектом Российской Федерации целей при предоставлении иного межбюджетного трансферта к нему применяются бюджетные меры принуждения в соответствии с бюджетным законодательством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20.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21. Контроль за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c"/>
        <w:spacing w:before="90" w:beforeAutospacing="0" w:after="90" w:afterAutospacing="0"/>
        <w:ind w:left="675" w:right="675"/>
        <w:jc w:val="center"/>
        <w:rPr>
          <w:color w:val="333333"/>
          <w:sz w:val="27"/>
          <w:szCs w:val="27"/>
        </w:rPr>
      </w:pPr>
      <w:r>
        <w:rPr>
          <w:color w:val="333333"/>
          <w:sz w:val="27"/>
          <w:szCs w:val="27"/>
        </w:rPr>
        <w:t>____________</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s"/>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18 марта 2022 г. № 409</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t"/>
        <w:spacing w:before="90" w:beforeAutospacing="0" w:after="90" w:afterAutospacing="0"/>
        <w:ind w:left="675" w:right="675"/>
        <w:jc w:val="center"/>
        <w:rPr>
          <w:b/>
          <w:bCs/>
          <w:color w:val="333333"/>
          <w:sz w:val="27"/>
          <w:szCs w:val="27"/>
        </w:rPr>
      </w:pPr>
      <w:proofErr w:type="gramStart"/>
      <w:r>
        <w:rPr>
          <w:b/>
          <w:bCs/>
          <w:color w:val="333333"/>
          <w:sz w:val="27"/>
          <w:szCs w:val="27"/>
        </w:rPr>
        <w:t>ИЗМЕНЕНИЯ,</w:t>
      </w:r>
      <w:r>
        <w:rPr>
          <w:b/>
          <w:bCs/>
          <w:color w:val="333333"/>
          <w:sz w:val="27"/>
          <w:szCs w:val="27"/>
        </w:rPr>
        <w:br/>
        <w:t>которые</w:t>
      </w:r>
      <w:proofErr w:type="gramEnd"/>
      <w:r>
        <w:rPr>
          <w:b/>
          <w:bCs/>
          <w:color w:val="333333"/>
          <w:sz w:val="27"/>
          <w:szCs w:val="27"/>
        </w:rPr>
        <w:t xml:space="preserve"> вносятся в акты Правительства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 В Правилах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утвержденных постановлением Правительства Российской Федерации </w:t>
      </w:r>
      <w:r>
        <w:rPr>
          <w:rStyle w:val="cmd"/>
          <w:color w:val="333333"/>
          <w:sz w:val="27"/>
          <w:szCs w:val="27"/>
        </w:rPr>
        <w:t>от 13 марта 2021 г. № 369</w:t>
      </w:r>
      <w:r>
        <w:rPr>
          <w:color w:val="333333"/>
          <w:sz w:val="27"/>
          <w:szCs w:val="27"/>
        </w:rPr>
        <w:t>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 13, ст. 2230, № 40, ст. 6846; 2022, № 7, ст. 995):</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 в пункте 2:</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после абзаца четвертого дополнить абзацами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"безработные граждане, зарегистрированные в органах службы занятости;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абзац десятый после слов "календарном году" дополнить словами "(за исключением получивших грант на обучение или обучающихся по договорам о целевом обучении)";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 в пункте 3:</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абзац пятый изложить в следующей редакции: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"в 2022 году - не менее 345 тыс. человек (при содействии Агентства не менее 115 тыс. человек, при содействии Университета не менее 115 тыс. человек, при содействии Академии не менее 115 тыс. человек), в том числе:";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после абзаца пятого дополнить абзацами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100 тыс. человек, отнесенных к категории безработных граждан, зарегистрированных в органах службы занятости (при содействии Агентства не менее 33,334 тыс. человек, при содействии Университета не менее 33,333 тыс. человек, при содействии Академии не менее 33,333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100 тыс. человек, отнесенных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23,334 тыс. человек, при содействии Университета не менее 23,333 тыс. человек, при содействии Академии не менее 23,333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50 тыс. человек, отнесенных к категории молодежи в возрасте до 35 лет (при содействии Агентства не менее 16,668 тыс. человек, при содействии Университета не менее 16,666 тыс. человек, при содействии Академии не менее 16,666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абзац девятый изложить в следующей редакции: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"в 2022 году - не менее 258,75 тыс. человек (при содействии Агентства не менее 86,25 тыс. человек, при содействии Университета не менее 86,25 тыс. человек, при содействии Академии не менее 86,25 тыс. человек), в том числе:";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после абзаца девятого дополнить абзацами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75 тыс. человек, отнесенных к категории безработных граждан, зарегистрированных в органах службы занятости (при содействии Агентства не менее 25 тыс. человек, при содействии Университета не менее 25 тыс. человек, при содействии Академии не менее 25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52,5 тыс. человек, отнесенных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17,5 тыс. человек, при содействии Университета не менее 17,5 тыс. человек, при содействии Академии не менее 17,5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не менее 37,5 тыс. человек, отнесенных к категории молодежи в возрасте до 35 лет (при содействии Агентства не менее 12,5 тыс. человек, при содействии Университета 12,5 тыс. человек, при содействии Академии не менее 12,5 тыс. человек);".</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2. В Положении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утвержденном постановлением Правительства Российской Федерации </w:t>
      </w:r>
      <w:r>
        <w:rPr>
          <w:rStyle w:val="cmd"/>
          <w:color w:val="333333"/>
          <w:sz w:val="27"/>
          <w:szCs w:val="27"/>
        </w:rPr>
        <w:t xml:space="preserve">от 27 мая </w:t>
      </w:r>
      <w:r>
        <w:rPr>
          <w:rStyle w:val="cmd"/>
          <w:color w:val="333333"/>
          <w:sz w:val="27"/>
          <w:szCs w:val="27"/>
        </w:rPr>
        <w:lastRenderedPageBreak/>
        <w:t>2021 г. № 800</w:t>
      </w:r>
      <w:r>
        <w:rPr>
          <w:color w:val="333333"/>
          <w:sz w:val="27"/>
          <w:szCs w:val="27"/>
        </w:rPr>
        <w:t>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 23, ст. 4049; Официальный интернет-портал правовой информации (www.pravo.gov.ru), 2022, 16 марта, № 0001202203060018):</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а) пункт 1 дополнить абзацем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xml:space="preserve">"Работники,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могут принять участие, если они не являлись участниками мероприятия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предусмотренного 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Pr>
          <w:color w:val="333333"/>
          <w:sz w:val="27"/>
          <w:szCs w:val="27"/>
        </w:rPr>
        <w:t>софинансирования</w:t>
      </w:r>
      <w:proofErr w:type="spellEnd"/>
      <w:r>
        <w:rPr>
          <w:color w:val="333333"/>
          <w:sz w:val="27"/>
          <w:szCs w:val="27"/>
        </w:rP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утвержденными постановлением Правительство Российской Федерации от 18 марта 2022 г. № 409 "О реализации в 2022 году отдельных мероприятий, направленных на снижение напряженности на рынке труда".";</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 в пункте 4:</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после абзаца пятого дополнить абзацами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"безработные граждане, зарегистрированные в органах службы занятости;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работники, находящиеся под риском увольнения, включая введение режима неполного рабочего времени, простой, временную остановку работ, предоставление отпусков без сохранения заработной платы, проведение мероприятий по высвобождению работников;";</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дополнить подпунктом "в"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"в) заключение безработными гражданами, зарегистрированными в органах службы занятости трехстороннего договора между органом службы занятости, участником мероприятий по обучению и организацией, осуществляющей образовательную деятельность, указанного в пункте 21 настоящего Положения.";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в) пункт 9 дополнить абзацем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lastRenderedPageBreak/>
        <w:t>"Органы службы занятости вправе запрашивать у граждан, подавших заявление, документы, подтверждающие их соответствие условию участия в мероприятиях, а также запрашивать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путем направления межведомственных запросов с использованием единой системы межведомственного электронного взаимодействия.";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г) дополнить пунктом 14</w:t>
      </w:r>
      <w:r>
        <w:rPr>
          <w:rStyle w:val="w9"/>
          <w:color w:val="333333"/>
          <w:sz w:val="17"/>
          <w:szCs w:val="17"/>
        </w:rPr>
        <w:t>1</w:t>
      </w:r>
      <w:r>
        <w:rPr>
          <w:color w:val="333333"/>
          <w:sz w:val="27"/>
          <w:szCs w:val="27"/>
        </w:rPr>
        <w:t> следующего содержания:</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"14</w:t>
      </w:r>
      <w:r>
        <w:rPr>
          <w:rStyle w:val="w9"/>
          <w:color w:val="333333"/>
          <w:sz w:val="17"/>
          <w:szCs w:val="17"/>
        </w:rPr>
        <w:t>1</w:t>
      </w:r>
      <w:r>
        <w:rPr>
          <w:color w:val="333333"/>
          <w:sz w:val="27"/>
          <w:szCs w:val="27"/>
        </w:rPr>
        <w:t>. 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соглашений, указанных в пункте 15 настоящего Положения, 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 за исключением случаев, предусмотренных Законом Российской Федерации "О занятости населения 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Выплата пособия по безработице прекращается или приостанавливается в случаях, предусмотренных статьей 35 Закона Российской Федерации "О занятости населения в Российской Федерации".</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По запросу органов службы занятости федеральные операторы (иные организации) представляют необходимые документы для выплаты пособия безработным гражданам, проходящим профессиональное обучение или получающим дополнительное профессиональное образование.".</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831E90" w:rsidRDefault="00831E90" w:rsidP="00831E90">
      <w:pPr>
        <w:pStyle w:val="a3"/>
        <w:spacing w:before="90" w:beforeAutospacing="0" w:after="90" w:afterAutospacing="0"/>
        <w:ind w:firstLine="675"/>
        <w:jc w:val="both"/>
        <w:rPr>
          <w:color w:val="333333"/>
          <w:sz w:val="27"/>
          <w:szCs w:val="27"/>
        </w:rPr>
      </w:pPr>
      <w:r>
        <w:rPr>
          <w:color w:val="333333"/>
          <w:sz w:val="27"/>
          <w:szCs w:val="27"/>
        </w:rPr>
        <w:t> </w:t>
      </w:r>
    </w:p>
    <w:p w:rsidR="006155EE" w:rsidRDefault="006155EE"/>
    <w:sectPr w:rsidR="00615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26"/>
    <w:rsid w:val="00476926"/>
    <w:rsid w:val="006155EE"/>
    <w:rsid w:val="0083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1292D-8E46-43B2-8E3C-EB4CBC10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831E90"/>
  </w:style>
  <w:style w:type="paragraph" w:customStyle="1" w:styleId="y">
    <w:name w:val="y"/>
    <w:basedOn w:val="a"/>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3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831E90"/>
  </w:style>
  <w:style w:type="character" w:customStyle="1" w:styleId="w9">
    <w:name w:val="w9"/>
    <w:basedOn w:val="a0"/>
    <w:rsid w:val="0083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6356</Words>
  <Characters>36235</Characters>
  <Application>Microsoft Office Word</Application>
  <DocSecurity>0</DocSecurity>
  <Lines>301</Lines>
  <Paragraphs>85</Paragraphs>
  <ScaleCrop>false</ScaleCrop>
  <Company>SPecialiST RePack</Company>
  <LinksUpToDate>false</LinksUpToDate>
  <CharactersWithSpaces>42506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Шамсадов</cp:lastModifiedBy>
  <cp:revision>2</cp:revision>
  <dcterms:created xsi:type="dcterms:W3CDTF">2022-07-04T07:02:00Z</dcterms:created>
  <dcterms:modified xsi:type="dcterms:W3CDTF">2022-07-04T07:03:00Z</dcterms:modified>
</cp:coreProperties>
</file>